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677CA"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246E6863" w14:textId="30472341" w:rsidR="00D63A2D" w:rsidRPr="006C7BB4" w:rsidRDefault="00D63A2D" w:rsidP="00D63A2D">
      <w:r>
        <w:rPr>
          <w:b/>
        </w:rPr>
        <w:t>TO:</w:t>
      </w:r>
      <w:r>
        <w:rPr>
          <w:b/>
        </w:rPr>
        <w:tab/>
      </w:r>
      <w:r>
        <w:rPr>
          <w:b/>
        </w:rPr>
        <w:tab/>
      </w:r>
      <w:r w:rsidR="006C7BB4" w:rsidRPr="006C7BB4">
        <w:t>Daniel Moore</w:t>
      </w:r>
      <w:r w:rsidRPr="006C7BB4">
        <w:t>, Attorney</w:t>
      </w:r>
    </w:p>
    <w:p w14:paraId="3AA755F0" w14:textId="77777777" w:rsidR="00D63A2D" w:rsidRPr="006C7BB4" w:rsidRDefault="00D63A2D" w:rsidP="00D63A2D">
      <w:pPr>
        <w:ind w:left="1440"/>
      </w:pPr>
      <w:r w:rsidRPr="006C7BB4">
        <w:t>Legal Division</w:t>
      </w:r>
    </w:p>
    <w:p w14:paraId="4098A5F7" w14:textId="77777777" w:rsidR="00D63A2D" w:rsidRDefault="00D63A2D" w:rsidP="00D63A2D">
      <w:pPr>
        <w:tabs>
          <w:tab w:val="left" w:pos="1170"/>
        </w:tabs>
      </w:pPr>
      <w:r>
        <w:tab/>
      </w:r>
      <w:r>
        <w:tab/>
      </w:r>
    </w:p>
    <w:p w14:paraId="3B23BD09" w14:textId="65D1B3E0" w:rsidR="00D63A2D" w:rsidRDefault="00D63A2D" w:rsidP="00D63A2D">
      <w:r>
        <w:rPr>
          <w:b/>
        </w:rPr>
        <w:t>FROM:</w:t>
      </w:r>
      <w:r>
        <w:rPr>
          <w:b/>
        </w:rPr>
        <w:tab/>
      </w:r>
      <w:r w:rsidR="00C0411D">
        <w:t>Frederick Quijano</w:t>
      </w:r>
      <w:r w:rsidR="006C7BB4" w:rsidRPr="006C7BB4">
        <w:t xml:space="preserve">, </w:t>
      </w:r>
      <w:r w:rsidR="00C0411D">
        <w:t>Financial Analyst</w:t>
      </w:r>
    </w:p>
    <w:p w14:paraId="6517E6F9" w14:textId="38EE7E5A" w:rsidR="00D63A2D" w:rsidRDefault="00C0411D" w:rsidP="00D63A2D">
      <w:pPr>
        <w:ind w:left="1440"/>
      </w:pPr>
      <w:r>
        <w:t>Rate Regulation</w:t>
      </w:r>
      <w:r w:rsidR="00D63A2D">
        <w:t xml:space="preserve"> Division</w:t>
      </w:r>
    </w:p>
    <w:p w14:paraId="6104BD17" w14:textId="77777777" w:rsidR="00D63A2D" w:rsidRPr="00A34203" w:rsidRDefault="00D63A2D" w:rsidP="00D63A2D">
      <w:pPr>
        <w:tabs>
          <w:tab w:val="left" w:pos="1170"/>
        </w:tabs>
        <w:outlineLvl w:val="0"/>
      </w:pPr>
    </w:p>
    <w:p w14:paraId="0DD70502" w14:textId="68BA5A23" w:rsidR="00D63A2D" w:rsidRPr="00A34203" w:rsidRDefault="00D63A2D" w:rsidP="00D63A2D">
      <w:pPr>
        <w:tabs>
          <w:tab w:val="left" w:pos="1170"/>
        </w:tabs>
      </w:pPr>
      <w:r w:rsidRPr="00A34203">
        <w:rPr>
          <w:b/>
        </w:rPr>
        <w:t>DATE:</w:t>
      </w:r>
      <w:r w:rsidRPr="00A34203">
        <w:rPr>
          <w:b/>
        </w:rPr>
        <w:tab/>
      </w:r>
      <w:r w:rsidRPr="00A34203">
        <w:rPr>
          <w:b/>
        </w:rPr>
        <w:tab/>
      </w:r>
      <w:r w:rsidR="00A34203" w:rsidRPr="00A34203">
        <w:rPr>
          <w:bCs/>
        </w:rPr>
        <w:t xml:space="preserve">May </w:t>
      </w:r>
      <w:r w:rsidR="00C0411D">
        <w:rPr>
          <w:bCs/>
        </w:rPr>
        <w:t>7</w:t>
      </w:r>
      <w:r w:rsidR="00A34203" w:rsidRPr="00A34203">
        <w:rPr>
          <w:bCs/>
        </w:rPr>
        <w:t>, 2021</w:t>
      </w:r>
    </w:p>
    <w:p w14:paraId="0CE7D58D" w14:textId="77777777" w:rsidR="00D63A2D" w:rsidRPr="00A34203" w:rsidRDefault="00D63A2D" w:rsidP="00D63A2D">
      <w:pPr>
        <w:tabs>
          <w:tab w:val="left" w:pos="1170"/>
        </w:tabs>
        <w:spacing w:before="240"/>
      </w:pPr>
    </w:p>
    <w:p w14:paraId="34F84210" w14:textId="3D6FB48C" w:rsidR="00D63A2D" w:rsidRPr="00A34203" w:rsidRDefault="00D63A2D" w:rsidP="00D63A2D">
      <w:pPr>
        <w:ind w:left="1440" w:hanging="1440"/>
        <w:jc w:val="left"/>
        <w:rPr>
          <w:szCs w:val="24"/>
        </w:rPr>
      </w:pPr>
      <w:r w:rsidRPr="00A34203">
        <w:rPr>
          <w:b/>
        </w:rPr>
        <w:t>RE:</w:t>
      </w:r>
      <w:r w:rsidRPr="00A34203">
        <w:rPr>
          <w:b/>
        </w:rPr>
        <w:tab/>
      </w:r>
      <w:r w:rsidRPr="00A34203">
        <w:rPr>
          <w:bCs/>
        </w:rPr>
        <w:t xml:space="preserve">Docket No. </w:t>
      </w:r>
      <w:r w:rsidR="00A34203" w:rsidRPr="00A34203">
        <w:rPr>
          <w:bCs/>
        </w:rPr>
        <w:t>51843</w:t>
      </w:r>
      <w:r w:rsidRPr="00A34203">
        <w:t xml:space="preserve"> – </w:t>
      </w:r>
      <w:r w:rsidRPr="00A34203">
        <w:rPr>
          <w:i/>
          <w:szCs w:val="24"/>
          <w:lang w:val="en-CA"/>
        </w:rPr>
        <w:t xml:space="preserve">Application </w:t>
      </w:r>
      <w:r w:rsidR="00A34203" w:rsidRPr="00A34203">
        <w:rPr>
          <w:i/>
          <w:szCs w:val="24"/>
        </w:rPr>
        <w:t>of</w:t>
      </w:r>
      <w:r w:rsidRPr="00A34203">
        <w:rPr>
          <w:i/>
          <w:szCs w:val="24"/>
        </w:rPr>
        <w:t xml:space="preserve"> </w:t>
      </w:r>
      <w:r w:rsidR="00A34203" w:rsidRPr="00A34203">
        <w:rPr>
          <w:i/>
          <w:szCs w:val="24"/>
        </w:rPr>
        <w:t xml:space="preserve">CSWR-Texas Utility Operating Company, LLC </w:t>
      </w:r>
      <w:r w:rsidR="00A34203" w:rsidRPr="00A34203">
        <w:rPr>
          <w:i/>
          <w:szCs w:val="24"/>
          <w:lang w:val="en-CA"/>
        </w:rPr>
        <w:t xml:space="preserve">for Temporary </w:t>
      </w:r>
      <w:r w:rsidR="00A34203" w:rsidRPr="00A34203">
        <w:rPr>
          <w:i/>
          <w:szCs w:val="24"/>
        </w:rPr>
        <w:t>Rates</w:t>
      </w:r>
      <w:r w:rsidRPr="00A34203">
        <w:rPr>
          <w:i/>
        </w:rPr>
        <w:t xml:space="preserve"> </w:t>
      </w:r>
      <w:r w:rsidR="00A34203" w:rsidRPr="00A34203">
        <w:rPr>
          <w:i/>
        </w:rPr>
        <w:t>for a Nonfunctioning Utility</w:t>
      </w:r>
    </w:p>
    <w:p w14:paraId="4F4B1D60" w14:textId="471BF861" w:rsidR="00D63A2D" w:rsidRDefault="0028111B" w:rsidP="002017E1">
      <w:pPr>
        <w:tabs>
          <w:tab w:val="left" w:pos="1170"/>
        </w:tabs>
        <w:ind w:left="1170" w:right="-450" w:hanging="1170"/>
        <w:rPr>
          <w:b/>
          <w:szCs w:val="24"/>
          <w:u w:val="single"/>
        </w:rPr>
      </w:pPr>
      <w:r w:rsidRPr="00A34203">
        <w:rPr>
          <w:noProof/>
        </w:rPr>
        <mc:AlternateContent>
          <mc:Choice Requires="wps">
            <w:drawing>
              <wp:anchor distT="4294967289" distB="4294967289" distL="114300" distR="114300" simplePos="0" relativeHeight="251658240" behindDoc="0" locked="0" layoutInCell="1" allowOverlap="1" wp14:anchorId="202E9E3E" wp14:editId="3779729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C6F39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A34203">
        <w:tab/>
      </w:r>
    </w:p>
    <w:p w14:paraId="61AF9E0C" w14:textId="0C07AFD5" w:rsidR="00681778" w:rsidRDefault="00E767AD" w:rsidP="00E767AD">
      <w:pPr>
        <w:rPr>
          <w:szCs w:val="24"/>
        </w:rPr>
      </w:pPr>
      <w:r w:rsidRPr="00E767AD">
        <w:rPr>
          <w:szCs w:val="24"/>
        </w:rPr>
        <w:t xml:space="preserve">On </w:t>
      </w:r>
      <w:r>
        <w:rPr>
          <w:szCs w:val="24"/>
        </w:rPr>
        <w:t>February 26, 2021</w:t>
      </w:r>
      <w:r w:rsidRPr="00E767AD">
        <w:rPr>
          <w:szCs w:val="24"/>
        </w:rPr>
        <w:t xml:space="preserve">, </w:t>
      </w:r>
      <w:r>
        <w:rPr>
          <w:szCs w:val="24"/>
        </w:rPr>
        <w:t>CSWR-Texas Utility Operating Company, LLC (CSWR-Texas)</w:t>
      </w:r>
      <w:r w:rsidRPr="00E767AD">
        <w:rPr>
          <w:szCs w:val="24"/>
        </w:rPr>
        <w:t xml:space="preserve">, </w:t>
      </w:r>
      <w:r>
        <w:rPr>
          <w:szCs w:val="24"/>
        </w:rPr>
        <w:t xml:space="preserve">temporary manager of Farrar Water Supply Corporation (Farrar), </w:t>
      </w:r>
      <w:r w:rsidRPr="00E767AD">
        <w:rPr>
          <w:szCs w:val="24"/>
        </w:rPr>
        <w:t>filed with the Public Utility Commission of Texas (Commission) a request for a temporary rate increase under 16 Texas Administrative Code (TAC) §</w:t>
      </w:r>
      <w:r w:rsidR="00C51BF5">
        <w:rPr>
          <w:szCs w:val="24"/>
        </w:rPr>
        <w:t>§</w:t>
      </w:r>
      <w:r w:rsidRPr="00E767AD">
        <w:rPr>
          <w:szCs w:val="24"/>
        </w:rPr>
        <w:t xml:space="preserve"> 24.363 and </w:t>
      </w:r>
      <w:r w:rsidRPr="00A96679">
        <w:rPr>
          <w:szCs w:val="24"/>
        </w:rPr>
        <w:t>24.43(b).</w:t>
      </w:r>
      <w:r w:rsidRPr="00E767AD">
        <w:rPr>
          <w:szCs w:val="24"/>
        </w:rPr>
        <w:t xml:space="preserve">  </w:t>
      </w:r>
    </w:p>
    <w:p w14:paraId="5B42D34A" w14:textId="77777777" w:rsidR="00681778" w:rsidRDefault="00681778" w:rsidP="00E767AD">
      <w:pPr>
        <w:rPr>
          <w:szCs w:val="24"/>
        </w:rPr>
      </w:pPr>
    </w:p>
    <w:p w14:paraId="0E59364F" w14:textId="1DF12B1D" w:rsidR="00E767AD" w:rsidRPr="00E767AD" w:rsidRDefault="00E767AD" w:rsidP="00E767AD">
      <w:pPr>
        <w:rPr>
          <w:szCs w:val="24"/>
        </w:rPr>
      </w:pPr>
      <w:r w:rsidRPr="00E767AD">
        <w:rPr>
          <w:szCs w:val="24"/>
        </w:rPr>
        <w:t>Under 16 TAC § 24.363</w:t>
      </w:r>
      <w:r w:rsidR="00681778">
        <w:rPr>
          <w:szCs w:val="24"/>
        </w:rPr>
        <w:t>:</w:t>
      </w:r>
      <w:r w:rsidRPr="00E767AD">
        <w:rPr>
          <w:szCs w:val="24"/>
        </w:rPr>
        <w:t xml:space="preserve"> </w:t>
      </w:r>
    </w:p>
    <w:p w14:paraId="0F853CEF" w14:textId="77777777" w:rsidR="00E767AD" w:rsidRPr="00E767AD" w:rsidRDefault="00E767AD" w:rsidP="00E767AD">
      <w:pPr>
        <w:spacing w:before="120"/>
        <w:ind w:left="720" w:right="720"/>
        <w:rPr>
          <w:szCs w:val="24"/>
        </w:rPr>
      </w:pPr>
      <w:r w:rsidRPr="00E767AD">
        <w:rPr>
          <w:szCs w:val="24"/>
        </w:rPr>
        <w:t xml:space="preserve">A retail public utility that takes over the provision of services for a nonfunctioning retail public water utility may immediately begin charging customers of the nonfunctioning system a temporary rate to recover the reasonable costs incurred for interconnection or other costs incurred in making services available and any other reasonable costs incurred to bring the nonfunctioning system into compliance with Commission rules.  </w:t>
      </w:r>
    </w:p>
    <w:p w14:paraId="67AAD770" w14:textId="6C88310E" w:rsidR="00E767AD" w:rsidRPr="00E767AD" w:rsidRDefault="00E767AD" w:rsidP="00681778">
      <w:pPr>
        <w:spacing w:before="240"/>
        <w:rPr>
          <w:szCs w:val="24"/>
        </w:rPr>
      </w:pPr>
      <w:r w:rsidRPr="00E767AD">
        <w:rPr>
          <w:szCs w:val="24"/>
        </w:rPr>
        <w:t xml:space="preserve">Additionally, under 16 TAC § 24.363, the Commission must issue an order regarding the reasonableness of the temporary rates.  In making the reasonableness determination, the Commission must consider information submitted by the retail public utility taking over the provision of service, the customers of the nonfunctioning system, or any other affected person.  </w:t>
      </w:r>
    </w:p>
    <w:p w14:paraId="175FA34A" w14:textId="0211AAEE" w:rsidR="00E767AD" w:rsidRPr="00253033" w:rsidRDefault="00E767AD" w:rsidP="00681778">
      <w:pPr>
        <w:spacing w:before="240"/>
        <w:rPr>
          <w:szCs w:val="24"/>
        </w:rPr>
      </w:pPr>
      <w:r w:rsidRPr="00E767AD">
        <w:rPr>
          <w:szCs w:val="24"/>
        </w:rPr>
        <w:t xml:space="preserve">In response to Staff’s First Request for </w:t>
      </w:r>
      <w:r w:rsidR="007932EF">
        <w:rPr>
          <w:szCs w:val="24"/>
        </w:rPr>
        <w:t>Documentation</w:t>
      </w:r>
      <w:r w:rsidRPr="00E767AD">
        <w:rPr>
          <w:szCs w:val="24"/>
        </w:rPr>
        <w:t xml:space="preserve">, </w:t>
      </w:r>
      <w:r w:rsidR="007932EF">
        <w:rPr>
          <w:szCs w:val="24"/>
        </w:rPr>
        <w:t>CSWR-Texas</w:t>
      </w:r>
      <w:r w:rsidRPr="00E767AD">
        <w:rPr>
          <w:szCs w:val="24"/>
        </w:rPr>
        <w:t xml:space="preserve"> submitted information supporting the reasonableness of its requested temporary rates. The discovery responses include additional documentation to support out-of-pocket expenditur</w:t>
      </w:r>
      <w:r w:rsidR="007932EF">
        <w:rPr>
          <w:szCs w:val="24"/>
        </w:rPr>
        <w:t>es.</w:t>
      </w:r>
    </w:p>
    <w:p w14:paraId="4B081B82" w14:textId="77777777" w:rsidR="00E767AD" w:rsidRPr="00E767AD" w:rsidRDefault="00E767AD" w:rsidP="00E767AD">
      <w:pPr>
        <w:rPr>
          <w:szCs w:val="24"/>
          <w:highlight w:val="yellow"/>
        </w:rPr>
      </w:pPr>
    </w:p>
    <w:p w14:paraId="50E64B90" w14:textId="1E4C344E" w:rsidR="003511CB" w:rsidRDefault="00B55FAB" w:rsidP="00B55FAB">
      <w:pPr>
        <w:spacing w:after="240"/>
        <w:rPr>
          <w:szCs w:val="24"/>
        </w:rPr>
      </w:pPr>
      <w:r w:rsidRPr="00A6124B">
        <w:t>CSWR-Texas</w:t>
      </w:r>
      <w:r w:rsidRPr="00FF6F23">
        <w:t xml:space="preserve"> requested a total yearly expense of $14,734 for the temporary rates, </w:t>
      </w:r>
      <w:r w:rsidR="0015347E" w:rsidRPr="00FF6F23">
        <w:t>including $</w:t>
      </w:r>
      <w:r w:rsidRPr="00FF6F23">
        <w:t>570 in billing</w:t>
      </w:r>
      <w:r>
        <w:t xml:space="preserve"> expenses. </w:t>
      </w:r>
      <w:r w:rsidR="003511CB">
        <w:rPr>
          <w:szCs w:val="24"/>
        </w:rPr>
        <w:t xml:space="preserve">Patricia Garcia in the Infrastructure Division </w:t>
      </w:r>
      <w:r>
        <w:rPr>
          <w:szCs w:val="24"/>
        </w:rPr>
        <w:t>provide</w:t>
      </w:r>
      <w:r w:rsidR="003E0128">
        <w:rPr>
          <w:szCs w:val="24"/>
        </w:rPr>
        <w:t>s</w:t>
      </w:r>
      <w:r>
        <w:rPr>
          <w:szCs w:val="24"/>
        </w:rPr>
        <w:t xml:space="preserve"> an analysis in her memo covering the reasonableness of the yearly expenses. My review covers the reasonableness of the billing expense included in the temporary rates. </w:t>
      </w:r>
    </w:p>
    <w:p w14:paraId="60DD191A" w14:textId="77777777" w:rsidR="00BB632C" w:rsidRDefault="00BB632C" w:rsidP="00681778">
      <w:pPr>
        <w:spacing w:after="240"/>
        <w:rPr>
          <w:szCs w:val="24"/>
        </w:rPr>
      </w:pPr>
    </w:p>
    <w:p w14:paraId="618E2CE6" w14:textId="77777777" w:rsidR="00BB632C" w:rsidRDefault="00BB632C" w:rsidP="00681778">
      <w:pPr>
        <w:spacing w:after="240"/>
        <w:rPr>
          <w:szCs w:val="24"/>
        </w:rPr>
      </w:pPr>
    </w:p>
    <w:p w14:paraId="0267CA0E" w14:textId="4FB21B97" w:rsidR="00E767AD" w:rsidRPr="00681778" w:rsidRDefault="00E43540" w:rsidP="00681778">
      <w:pPr>
        <w:spacing w:after="240"/>
      </w:pPr>
      <w:r>
        <w:rPr>
          <w:szCs w:val="24"/>
        </w:rPr>
        <w:t>In the Response to Staff’s First Request for Documentation, CSWR-Texas states that they pay</w:t>
      </w:r>
      <w:r w:rsidR="009370A7">
        <w:rPr>
          <w:szCs w:val="24"/>
        </w:rPr>
        <w:t xml:space="preserve"> </w:t>
      </w:r>
      <w:proofErr w:type="spellStart"/>
      <w:r>
        <w:rPr>
          <w:szCs w:val="24"/>
        </w:rPr>
        <w:t>Nitor</w:t>
      </w:r>
      <w:proofErr w:type="spellEnd"/>
      <w:r>
        <w:rPr>
          <w:szCs w:val="24"/>
        </w:rPr>
        <w:t xml:space="preserve"> Billing Services, LLC for monthly billing services provided to multiple systems owned and operated by CSWR-Texas.</w:t>
      </w:r>
      <w:r w:rsidR="009370A7">
        <w:rPr>
          <w:rStyle w:val="FootnoteReference"/>
          <w:szCs w:val="24"/>
        </w:rPr>
        <w:footnoteReference w:id="1"/>
      </w:r>
      <w:r w:rsidR="009370A7">
        <w:rPr>
          <w:szCs w:val="24"/>
        </w:rPr>
        <w:t xml:space="preserve"> The portion of the monthly billing expense allocated to Farrar is $42.75.</w:t>
      </w:r>
      <w:r w:rsidR="00BD63A5">
        <w:rPr>
          <w:rStyle w:val="FootnoteReference"/>
          <w:szCs w:val="24"/>
        </w:rPr>
        <w:footnoteReference w:id="2"/>
      </w:r>
      <w:r w:rsidR="009370A7">
        <w:rPr>
          <w:szCs w:val="24"/>
        </w:rPr>
        <w:t xml:space="preserve"> The total annual expense for billing of Farrar water system is $51</w:t>
      </w:r>
      <w:r w:rsidR="00F34B71">
        <w:rPr>
          <w:szCs w:val="24"/>
        </w:rPr>
        <w:t>3</w:t>
      </w:r>
      <w:r w:rsidR="009370A7">
        <w:rPr>
          <w:szCs w:val="24"/>
        </w:rPr>
        <w:t xml:space="preserve"> ($42.75 x 12 months). </w:t>
      </w:r>
      <w:r w:rsidR="00F4150E">
        <w:rPr>
          <w:szCs w:val="24"/>
        </w:rPr>
        <w:t xml:space="preserve">Therefore, an </w:t>
      </w:r>
      <w:r w:rsidR="009370A7">
        <w:rPr>
          <w:szCs w:val="24"/>
        </w:rPr>
        <w:t>adjust</w:t>
      </w:r>
      <w:r w:rsidR="00F4150E">
        <w:rPr>
          <w:szCs w:val="24"/>
        </w:rPr>
        <w:t>ment</w:t>
      </w:r>
      <w:r w:rsidR="009370A7">
        <w:rPr>
          <w:szCs w:val="24"/>
        </w:rPr>
        <w:t xml:space="preserve"> </w:t>
      </w:r>
      <w:r w:rsidR="00681778">
        <w:rPr>
          <w:szCs w:val="24"/>
        </w:rPr>
        <w:t xml:space="preserve">to </w:t>
      </w:r>
      <w:r w:rsidR="00253033">
        <w:rPr>
          <w:szCs w:val="24"/>
        </w:rPr>
        <w:t>reduc</w:t>
      </w:r>
      <w:r w:rsidR="00681778">
        <w:rPr>
          <w:szCs w:val="24"/>
        </w:rPr>
        <w:t>e</w:t>
      </w:r>
      <w:r w:rsidR="00253033">
        <w:rPr>
          <w:szCs w:val="24"/>
        </w:rPr>
        <w:t xml:space="preserve"> </w:t>
      </w:r>
      <w:r w:rsidR="00F4150E">
        <w:rPr>
          <w:szCs w:val="24"/>
        </w:rPr>
        <w:t>the annual billing</w:t>
      </w:r>
      <w:r w:rsidR="00253033">
        <w:rPr>
          <w:szCs w:val="24"/>
        </w:rPr>
        <w:t xml:space="preserve"> amount by $5</w:t>
      </w:r>
      <w:r w:rsidR="00E96369">
        <w:rPr>
          <w:szCs w:val="24"/>
        </w:rPr>
        <w:t>7</w:t>
      </w:r>
      <w:r w:rsidR="00F4150E">
        <w:rPr>
          <w:szCs w:val="24"/>
        </w:rPr>
        <w:t xml:space="preserve"> </w:t>
      </w:r>
      <w:proofErr w:type="gramStart"/>
      <w:r w:rsidR="00F4150E">
        <w:rPr>
          <w:szCs w:val="24"/>
        </w:rPr>
        <w:t>is needed</w:t>
      </w:r>
      <w:proofErr w:type="gramEnd"/>
      <w:r w:rsidR="00F4150E">
        <w:rPr>
          <w:szCs w:val="24"/>
        </w:rPr>
        <w:t xml:space="preserve"> to correctly reflect the actual billing expense</w:t>
      </w:r>
      <w:r w:rsidR="00253033">
        <w:rPr>
          <w:szCs w:val="24"/>
        </w:rPr>
        <w:t>.</w:t>
      </w:r>
      <w:r w:rsidR="00F4150E">
        <w:rPr>
          <w:szCs w:val="24"/>
        </w:rPr>
        <w:t xml:space="preserve"> Ms. Garcia discusses whether this adjustment should be incorporated into the overall amount of annual expenses </w:t>
      </w:r>
      <w:r w:rsidR="00353E27">
        <w:rPr>
          <w:szCs w:val="24"/>
        </w:rPr>
        <w:t>to be recovered by the temporary rates approved in this proceeding.</w:t>
      </w:r>
      <w:r w:rsidR="00F4150E">
        <w:rPr>
          <w:szCs w:val="24"/>
        </w:rPr>
        <w:t xml:space="preserve"> </w:t>
      </w:r>
      <w:r w:rsidR="00253033">
        <w:rPr>
          <w:szCs w:val="24"/>
        </w:rPr>
        <w:t xml:space="preserve"> </w:t>
      </w:r>
    </w:p>
    <w:p w14:paraId="697F8E97" w14:textId="5022B76D" w:rsidR="00E767AD" w:rsidRPr="00E767AD" w:rsidRDefault="00E767AD" w:rsidP="00E767AD">
      <w:pPr>
        <w:rPr>
          <w:szCs w:val="24"/>
        </w:rPr>
      </w:pPr>
      <w:r w:rsidRPr="00E767AD">
        <w:rPr>
          <w:szCs w:val="24"/>
        </w:rPr>
        <w:t xml:space="preserve">Additionally, I recommend that the Commission order </w:t>
      </w:r>
      <w:r w:rsidR="00253033">
        <w:rPr>
          <w:szCs w:val="24"/>
        </w:rPr>
        <w:t>CSWR-Texas</w:t>
      </w:r>
      <w:r w:rsidRPr="00E767AD">
        <w:rPr>
          <w:szCs w:val="24"/>
        </w:rPr>
        <w:t xml:space="preserve"> to provide a summary of its monthly operations, maintenance, administrative, and general expenses with a detailed list of actual expenses</w:t>
      </w:r>
      <w:proofErr w:type="gramStart"/>
      <w:r w:rsidRPr="00E767AD">
        <w:rPr>
          <w:szCs w:val="24"/>
        </w:rPr>
        <w:t xml:space="preserve">.  </w:t>
      </w:r>
      <w:proofErr w:type="gramEnd"/>
      <w:r w:rsidRPr="00E767AD">
        <w:rPr>
          <w:szCs w:val="24"/>
        </w:rPr>
        <w:t>I recommend that the filing of the monthly summary occur no later than the last business day of the month following the operational month</w:t>
      </w:r>
      <w:r w:rsidR="00C149B7">
        <w:rPr>
          <w:szCs w:val="24"/>
        </w:rPr>
        <w:t xml:space="preserve"> in which the expenses were incurred</w:t>
      </w:r>
      <w:r w:rsidRPr="00E767AD">
        <w:rPr>
          <w:szCs w:val="24"/>
        </w:rPr>
        <w:t xml:space="preserve">.  Further, I recommend that the monthly filings continue until completion of </w:t>
      </w:r>
      <w:r w:rsidR="00253033">
        <w:rPr>
          <w:szCs w:val="24"/>
        </w:rPr>
        <w:t>CSWR-Texas’</w:t>
      </w:r>
      <w:r w:rsidR="00C51BF5">
        <w:rPr>
          <w:szCs w:val="24"/>
        </w:rPr>
        <w:t>s</w:t>
      </w:r>
      <w:r w:rsidRPr="00E767AD">
        <w:rPr>
          <w:szCs w:val="24"/>
        </w:rPr>
        <w:t xml:space="preserve"> term</w:t>
      </w:r>
      <w:r w:rsidR="00C149B7">
        <w:rPr>
          <w:szCs w:val="24"/>
        </w:rPr>
        <w:t xml:space="preserve"> as temporary manager</w:t>
      </w:r>
      <w:r w:rsidRPr="00E767AD">
        <w:rPr>
          <w:szCs w:val="24"/>
        </w:rPr>
        <w:t xml:space="preserve">.  Monthly filings must include copies of invoices or receipts to support the actual costs.  </w:t>
      </w:r>
    </w:p>
    <w:p w14:paraId="01511F69" w14:textId="0D47F391" w:rsidR="00DA36E8" w:rsidRDefault="00DA36E8" w:rsidP="00E767AD">
      <w:pPr>
        <w:spacing w:after="240"/>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8D682" w14:textId="77777777" w:rsidR="00387591" w:rsidRDefault="00387591">
      <w:r>
        <w:separator/>
      </w:r>
    </w:p>
  </w:endnote>
  <w:endnote w:type="continuationSeparator" w:id="0">
    <w:p w14:paraId="7327907C" w14:textId="77777777" w:rsidR="00387591" w:rsidRDefault="0038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39B30" w14:textId="77777777" w:rsidR="00387591" w:rsidRDefault="00387591">
      <w:r>
        <w:separator/>
      </w:r>
    </w:p>
  </w:footnote>
  <w:footnote w:type="continuationSeparator" w:id="0">
    <w:p w14:paraId="12231098" w14:textId="77777777" w:rsidR="00387591" w:rsidRDefault="00387591">
      <w:r>
        <w:continuationSeparator/>
      </w:r>
    </w:p>
  </w:footnote>
  <w:footnote w:id="1">
    <w:p w14:paraId="3930D03D" w14:textId="69A83344" w:rsidR="009370A7" w:rsidRDefault="009370A7" w:rsidP="00681778">
      <w:pPr>
        <w:pStyle w:val="FootnoteText"/>
        <w:ind w:firstLine="720"/>
        <w:jc w:val="both"/>
      </w:pPr>
      <w:r>
        <w:rPr>
          <w:rStyle w:val="FootnoteReference"/>
        </w:rPr>
        <w:footnoteRef/>
      </w:r>
      <w:r>
        <w:t xml:space="preserve"> </w:t>
      </w:r>
      <w:r w:rsidR="006D17CF">
        <w:t xml:space="preserve"> </w:t>
      </w:r>
      <w:r w:rsidR="006D17CF" w:rsidRPr="0015347E">
        <w:t>CSWR-Texas Utility Operating Company, LLC’s Response to Staff’s First Request for Documentation</w:t>
      </w:r>
      <w:r w:rsidR="006D17CF">
        <w:t xml:space="preserve">, </w:t>
      </w:r>
      <w:r w:rsidR="00C51BF5">
        <w:t xml:space="preserve">Staff </w:t>
      </w:r>
      <w:r w:rsidR="006D17CF">
        <w:t xml:space="preserve">Question </w:t>
      </w:r>
      <w:r w:rsidR="00C51BF5">
        <w:t>1-</w:t>
      </w:r>
      <w:r w:rsidR="006D17CF">
        <w:t>3l at 14 (Apr. 21, 2021).</w:t>
      </w:r>
    </w:p>
  </w:footnote>
  <w:footnote w:id="2">
    <w:p w14:paraId="1F0FE487" w14:textId="11867B8B" w:rsidR="00BD63A5" w:rsidRPr="003239AB" w:rsidRDefault="00BD63A5" w:rsidP="0015347E">
      <w:pPr>
        <w:pStyle w:val="FootnoteText"/>
        <w:spacing w:before="120"/>
        <w:ind w:firstLine="720"/>
        <w:jc w:val="both"/>
        <w:rPr>
          <w:i/>
          <w:iCs/>
        </w:rPr>
      </w:pPr>
      <w:r>
        <w:rPr>
          <w:rStyle w:val="FootnoteReference"/>
        </w:rPr>
        <w:footnoteRef/>
      </w:r>
      <w:r>
        <w:t xml:space="preserve">  </w:t>
      </w:r>
      <w:r>
        <w:rPr>
          <w:i/>
          <w:iCs/>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F7163" w14:textId="77777777" w:rsidR="00DA36E8" w:rsidRDefault="00DA36E8">
    <w:pPr>
      <w:pStyle w:val="Header"/>
      <w:jc w:val="center"/>
      <w:rPr>
        <w:b/>
        <w:i/>
        <w:sz w:val="38"/>
      </w:rPr>
    </w:pPr>
    <w:r>
      <w:rPr>
        <w:b/>
        <w:i/>
        <w:sz w:val="38"/>
      </w:rPr>
      <w:t>Public Utility Commission of Texas</w:t>
    </w:r>
  </w:p>
  <w:p w14:paraId="5B7DBC6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1B29D2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F4A9E" w14:textId="5EE3BDD7" w:rsidR="00DA36E8" w:rsidRDefault="00BB632C">
    <w:pPr>
      <w:pStyle w:val="Header"/>
    </w:pPr>
    <w:r w:rsidRPr="0015347E">
      <w:rPr>
        <w:sz w:val="20"/>
      </w:rPr>
      <w:t>Docket No. 51483</w:t>
    </w:r>
    <w:r w:rsidRPr="0015347E">
      <w:rPr>
        <w:sz w:val="20"/>
      </w:rPr>
      <w:ptab w:relativeTo="margin" w:alignment="center" w:leader="none"/>
    </w:r>
    <w:r w:rsidRPr="0015347E">
      <w:rPr>
        <w:sz w:val="20"/>
      </w:rPr>
      <w:t>Memorandum of Frederick Quijano (</w:t>
    </w:r>
    <w:r>
      <w:rPr>
        <w:sz w:val="20"/>
      </w:rPr>
      <w:t>May 7</w:t>
    </w:r>
    <w:r w:rsidRPr="0015347E">
      <w:rPr>
        <w:sz w:val="20"/>
      </w:rPr>
      <w:t>, 2021)</w:t>
    </w:r>
    <w:r w:rsidRPr="0015347E">
      <w:rPr>
        <w:sz w:val="20"/>
      </w:rPr>
      <w:tab/>
      <w:t>Page 2 of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24270"/>
    <w:multiLevelType w:val="hybridMultilevel"/>
    <w:tmpl w:val="C5D2A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8B03AF"/>
    <w:multiLevelType w:val="hybridMultilevel"/>
    <w:tmpl w:val="9014D424"/>
    <w:lvl w:ilvl="0" w:tplc="62027B6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7BC3BC3"/>
    <w:multiLevelType w:val="hybridMultilevel"/>
    <w:tmpl w:val="0A54760C"/>
    <w:lvl w:ilvl="0" w:tplc="258CEF9A">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F62454"/>
    <w:multiLevelType w:val="hybridMultilevel"/>
    <w:tmpl w:val="BFE0A4C4"/>
    <w:lvl w:ilvl="0" w:tplc="65A28C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937"/>
    <w:rsid w:val="00020343"/>
    <w:rsid w:val="000A4B78"/>
    <w:rsid w:val="000E0132"/>
    <w:rsid w:val="00116570"/>
    <w:rsid w:val="0015347E"/>
    <w:rsid w:val="00155B61"/>
    <w:rsid w:val="001A3E6F"/>
    <w:rsid w:val="002017E1"/>
    <w:rsid w:val="00253033"/>
    <w:rsid w:val="0028111B"/>
    <w:rsid w:val="003239AB"/>
    <w:rsid w:val="00333C9D"/>
    <w:rsid w:val="003511CB"/>
    <w:rsid w:val="00353E27"/>
    <w:rsid w:val="00387591"/>
    <w:rsid w:val="003D4E39"/>
    <w:rsid w:val="003E0128"/>
    <w:rsid w:val="003E1099"/>
    <w:rsid w:val="004249AC"/>
    <w:rsid w:val="0045262F"/>
    <w:rsid w:val="00455A6D"/>
    <w:rsid w:val="00463134"/>
    <w:rsid w:val="00491366"/>
    <w:rsid w:val="004D1B8D"/>
    <w:rsid w:val="004D39E2"/>
    <w:rsid w:val="004E4C7C"/>
    <w:rsid w:val="00502380"/>
    <w:rsid w:val="005B388D"/>
    <w:rsid w:val="005F6523"/>
    <w:rsid w:val="0060399E"/>
    <w:rsid w:val="00640F06"/>
    <w:rsid w:val="00681778"/>
    <w:rsid w:val="006C7BB4"/>
    <w:rsid w:val="006D17CF"/>
    <w:rsid w:val="006E18EC"/>
    <w:rsid w:val="006F5831"/>
    <w:rsid w:val="0070346E"/>
    <w:rsid w:val="007834B8"/>
    <w:rsid w:val="007932EF"/>
    <w:rsid w:val="007E4EE0"/>
    <w:rsid w:val="008262FF"/>
    <w:rsid w:val="008B0B48"/>
    <w:rsid w:val="008C469B"/>
    <w:rsid w:val="0091083F"/>
    <w:rsid w:val="009370A7"/>
    <w:rsid w:val="009D24E1"/>
    <w:rsid w:val="00A057BF"/>
    <w:rsid w:val="00A34203"/>
    <w:rsid w:val="00A436A8"/>
    <w:rsid w:val="00A554BB"/>
    <w:rsid w:val="00A57737"/>
    <w:rsid w:val="00A7691E"/>
    <w:rsid w:val="00A96679"/>
    <w:rsid w:val="00AA58D7"/>
    <w:rsid w:val="00AD49D8"/>
    <w:rsid w:val="00B268C3"/>
    <w:rsid w:val="00B53667"/>
    <w:rsid w:val="00B55FAB"/>
    <w:rsid w:val="00B56DD2"/>
    <w:rsid w:val="00B77D13"/>
    <w:rsid w:val="00BB632C"/>
    <w:rsid w:val="00BD63A5"/>
    <w:rsid w:val="00C00F2B"/>
    <w:rsid w:val="00C0411D"/>
    <w:rsid w:val="00C149B7"/>
    <w:rsid w:val="00C51BF5"/>
    <w:rsid w:val="00C51E5F"/>
    <w:rsid w:val="00C85231"/>
    <w:rsid w:val="00C95C21"/>
    <w:rsid w:val="00CF601E"/>
    <w:rsid w:val="00D36A0A"/>
    <w:rsid w:val="00D63A2D"/>
    <w:rsid w:val="00D71937"/>
    <w:rsid w:val="00DA2EB9"/>
    <w:rsid w:val="00DA36E8"/>
    <w:rsid w:val="00E43540"/>
    <w:rsid w:val="00E767AD"/>
    <w:rsid w:val="00E96369"/>
    <w:rsid w:val="00EA0AF0"/>
    <w:rsid w:val="00EA5690"/>
    <w:rsid w:val="00F0118B"/>
    <w:rsid w:val="00F057A7"/>
    <w:rsid w:val="00F34B71"/>
    <w:rsid w:val="00F4059B"/>
    <w:rsid w:val="00F4150E"/>
    <w:rsid w:val="00F45411"/>
    <w:rsid w:val="00FA413C"/>
    <w:rsid w:val="00FC5DAD"/>
    <w:rsid w:val="00FF6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A0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nhideWhenUsed/>
    <w:rsid w:val="00D63A2D"/>
    <w:pPr>
      <w:spacing w:after="200"/>
      <w:jc w:val="left"/>
    </w:pPr>
    <w:rPr>
      <w:rFonts w:eastAsiaTheme="minorHAnsi" w:cstheme="minorBidi"/>
      <w:sz w:val="20"/>
    </w:rPr>
  </w:style>
  <w:style w:type="character" w:customStyle="1" w:styleId="CommentTextChar">
    <w:name w:val="Comment Text Char"/>
    <w:basedOn w:val="DefaultParagraphFont"/>
    <w:link w:val="CommentText"/>
    <w:rsid w:val="00D63A2D"/>
    <w:rPr>
      <w:rFonts w:eastAsiaTheme="minorHAnsi" w:cstheme="minorBidi"/>
    </w:rPr>
  </w:style>
  <w:style w:type="character" w:styleId="CommentReference">
    <w:name w:val="annotation reference"/>
    <w:basedOn w:val="DefaultParagraphFont"/>
    <w:unhideWhenUsed/>
    <w:rsid w:val="00D63A2D"/>
    <w:rPr>
      <w:sz w:val="16"/>
      <w:szCs w:val="16"/>
    </w:rPr>
  </w:style>
  <w:style w:type="paragraph" w:styleId="ListParagraph">
    <w:name w:val="List Paragraph"/>
    <w:basedOn w:val="Normal"/>
    <w:uiPriority w:val="34"/>
    <w:qFormat/>
    <w:rsid w:val="00D63A2D"/>
    <w:pPr>
      <w:spacing w:after="200" w:line="276" w:lineRule="auto"/>
      <w:ind w:left="720"/>
      <w:contextualSpacing/>
      <w:jc w:val="left"/>
    </w:pPr>
    <w:rPr>
      <w:rFonts w:eastAsiaTheme="minorHAnsi" w:cstheme="minorBidi"/>
      <w:szCs w:val="22"/>
    </w:rPr>
  </w:style>
  <w:style w:type="character" w:styleId="Hyperlink">
    <w:name w:val="Hyperlink"/>
    <w:basedOn w:val="DefaultParagraphFont"/>
    <w:uiPriority w:val="99"/>
    <w:unhideWhenUsed/>
    <w:rsid w:val="00D63A2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0399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60399E"/>
    <w:rPr>
      <w:rFonts w:eastAsiaTheme="minorHAnsi" w:cstheme="minorBidi"/>
      <w:b/>
      <w:bCs/>
    </w:rPr>
  </w:style>
  <w:style w:type="paragraph" w:styleId="FootnoteText">
    <w:name w:val="footnote text"/>
    <w:basedOn w:val="Normal"/>
    <w:link w:val="FootnoteTextChar"/>
    <w:semiHidden/>
    <w:rsid w:val="00E767AD"/>
    <w:pPr>
      <w:jc w:val="left"/>
    </w:pPr>
    <w:rPr>
      <w:sz w:val="20"/>
    </w:rPr>
  </w:style>
  <w:style w:type="character" w:customStyle="1" w:styleId="FootnoteTextChar">
    <w:name w:val="Footnote Text Char"/>
    <w:basedOn w:val="DefaultParagraphFont"/>
    <w:link w:val="FootnoteText"/>
    <w:semiHidden/>
    <w:rsid w:val="00E767AD"/>
  </w:style>
  <w:style w:type="character" w:styleId="FootnoteReference">
    <w:name w:val="footnote reference"/>
    <w:semiHidden/>
    <w:rsid w:val="00E767AD"/>
    <w:rPr>
      <w:vertAlign w:val="superscript"/>
    </w:rPr>
  </w:style>
  <w:style w:type="character" w:customStyle="1" w:styleId="HeaderChar">
    <w:name w:val="Header Char"/>
    <w:basedOn w:val="DefaultParagraphFont"/>
    <w:link w:val="Header"/>
    <w:uiPriority w:val="99"/>
    <w:rsid w:val="00BB632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23AF8-618D-4DA2-BAAD-9CB6CBEC7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2794</Characters>
  <Application>Microsoft Office Word</Application>
  <DocSecurity>0</DocSecurity>
  <Lines>23</Lines>
  <Paragraphs>6</Paragraphs>
  <ScaleCrop>false</ScaleCrop>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2021-05-07T19:34:00Z</dcterms:created>
  <dcterms:modified xsi:type="dcterms:W3CDTF">2021-05-07T19:34:00Z</dcterms:modified>
</cp:coreProperties>
</file>